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>Rentefradrag 2012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>I forbindelse med det optagne lån og kredit i Spar Nord Bank har der i 2012 har der været en samlet renteudgift på i alt kr. 238.584,20 Denne renteudgift kan fordeles på de enkelte lejlighedstyper med følgende beløb: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Areal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ab/>
      </w:r>
      <w:r w:rsidRPr="00511CFE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Renteudgift 2012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54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54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1.660,50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63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63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1.937,25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66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66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2.029,50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67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67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2.060,25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70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70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2.152,50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75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75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2.306,25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96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96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2.952,00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145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145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4.458,75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De </w:t>
      </w:r>
      <w:r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skal 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>selv skal indberette Deres renteudgift overfor Skat</w:t>
      </w:r>
      <w:r>
        <w:rPr>
          <w:rFonts w:ascii="Palatino Linotype" w:eastAsia="Times New Roman" w:hAnsi="Palatino Linotype" w:cs="Times New Roman"/>
          <w:szCs w:val="20"/>
          <w:lang w:eastAsia="da-DK"/>
        </w:rPr>
        <w:t>.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 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>Ejerforeningen indberetter ikke renteudgiften for Deres vedkommende.</w:t>
      </w:r>
    </w:p>
    <w:p w:rsidR="00DD45B5" w:rsidRDefault="00EA539E"/>
    <w:sectPr w:rsidR="00DD45B5" w:rsidSect="005B2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EA539E"/>
    <w:rsid w:val="00410F84"/>
    <w:rsid w:val="004614D0"/>
    <w:rsid w:val="004B2478"/>
    <w:rsid w:val="005B2043"/>
    <w:rsid w:val="005B68AA"/>
    <w:rsid w:val="00745D4E"/>
    <w:rsid w:val="0081013E"/>
    <w:rsid w:val="008A3B47"/>
    <w:rsid w:val="00B15D49"/>
    <w:rsid w:val="00EA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469</Characters>
  <Application>Microsoft Office Word</Application>
  <DocSecurity>0</DocSecurity>
  <Lines>3</Lines>
  <Paragraphs>1</Paragraphs>
  <ScaleCrop>false</ScaleCrop>
  <Company>Sotea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Stephan Meyhoff Süberkrüb Admin</cp:lastModifiedBy>
  <cp:revision>1</cp:revision>
  <dcterms:created xsi:type="dcterms:W3CDTF">2013-02-15T17:24:00Z</dcterms:created>
  <dcterms:modified xsi:type="dcterms:W3CDTF">2013-02-15T17:25:00Z</dcterms:modified>
</cp:coreProperties>
</file>